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12D42" w14:textId="69EA2374" w:rsidR="00AE43FF" w:rsidRDefault="00EB61BE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eastAsia="pl-PL"/>
        </w:rPr>
        <w:drawing>
          <wp:anchor distT="0" distB="0" distL="114300" distR="114300" simplePos="0" relativeHeight="251671552" behindDoc="1" locked="0" layoutInCell="1" allowOverlap="1" wp14:anchorId="14DA5199" wp14:editId="15B300CE">
            <wp:simplePos x="0" y="0"/>
            <wp:positionH relativeFrom="margin">
              <wp:align>right</wp:align>
            </wp:positionH>
            <wp:positionV relativeFrom="paragraph">
              <wp:posOffset>-149710</wp:posOffset>
            </wp:positionV>
            <wp:extent cx="2177045" cy="1234440"/>
            <wp:effectExtent l="0" t="0" r="0" b="3810"/>
            <wp:wrapNone/>
            <wp:docPr id="191709572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095727" name="Obraz 1917095727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503" b="20795"/>
                    <a:stretch/>
                  </pic:blipFill>
                  <pic:spPr bwMode="auto">
                    <a:xfrm>
                      <a:off x="0" y="0"/>
                      <a:ext cx="2177045" cy="1234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28A3">
        <w:rPr>
          <w:rFonts w:ascii="Arial" w:hAnsi="Arial" w:cs="Arial"/>
          <w:b/>
          <w:noProof/>
          <w:sz w:val="20"/>
          <w:szCs w:val="20"/>
          <w:lang w:eastAsia="pl-PL"/>
        </w:rPr>
        <w:drawing>
          <wp:anchor distT="0" distB="0" distL="114300" distR="114300" simplePos="0" relativeHeight="251648000" behindDoc="0" locked="0" layoutInCell="0" allowOverlap="1" wp14:anchorId="1A21BF02" wp14:editId="1CF466CF">
            <wp:simplePos x="0" y="0"/>
            <wp:positionH relativeFrom="margin">
              <wp:posOffset>1868805</wp:posOffset>
            </wp:positionH>
            <wp:positionV relativeFrom="margin">
              <wp:posOffset>48260</wp:posOffset>
            </wp:positionV>
            <wp:extent cx="2286000" cy="570865"/>
            <wp:effectExtent l="0" t="0" r="0" b="0"/>
            <wp:wrapSquare wrapText="bothSides"/>
            <wp:docPr id="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570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A128A3">
        <w:rPr>
          <w:rFonts w:ascii="Arial" w:hAnsi="Arial" w:cs="Arial"/>
          <w:b/>
          <w:sz w:val="20"/>
          <w:szCs w:val="20"/>
        </w:rPr>
        <w:t>Galmag</w:t>
      </w:r>
      <w:proofErr w:type="spellEnd"/>
      <w:r w:rsidR="00A128A3">
        <w:rPr>
          <w:rFonts w:ascii="Arial" w:hAnsi="Arial" w:cs="Arial"/>
          <w:b/>
          <w:sz w:val="20"/>
          <w:szCs w:val="20"/>
        </w:rPr>
        <w:t xml:space="preserve"> sp. z o.o.  </w:t>
      </w:r>
    </w:p>
    <w:p w14:paraId="58721012" w14:textId="3E12BEDA" w:rsidR="00AE43FF" w:rsidRDefault="00A128A3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Wróblewskiego 39/41 </w:t>
      </w:r>
    </w:p>
    <w:p w14:paraId="2ADF6D3D" w14:textId="6C5E4935" w:rsidR="00AE43FF" w:rsidRDefault="00A128A3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94-103 Łódź  </w:t>
      </w:r>
    </w:p>
    <w:p w14:paraId="586E89D0" w14:textId="6DFF4F7C" w:rsidR="00AE43FF" w:rsidRDefault="00A128A3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Tel: 42 646 63 40  </w:t>
      </w:r>
    </w:p>
    <w:p w14:paraId="23A9C36F" w14:textId="77777777" w:rsidR="00AE43FF" w:rsidRDefault="00A128A3">
      <w:pPr>
        <w:spacing w:after="0" w:line="240" w:lineRule="auto"/>
        <w:rPr>
          <w:rFonts w:ascii="Arial Black" w:hAnsi="Arial Black"/>
          <w:b/>
          <w:color w:val="0070C0"/>
          <w:sz w:val="52"/>
          <w:szCs w:val="52"/>
          <w:u w:val="single"/>
        </w:rPr>
      </w:pPr>
      <w:r>
        <w:rPr>
          <w:rFonts w:ascii="Arial" w:hAnsi="Arial" w:cs="Arial"/>
          <w:b/>
          <w:color w:val="0070C0"/>
          <w:sz w:val="20"/>
          <w:szCs w:val="20"/>
          <w:u w:val="single"/>
        </w:rPr>
        <w:t>biuro@galmag.pl</w:t>
      </w:r>
    </w:p>
    <w:p w14:paraId="42BB4F1E" w14:textId="1C7C9DED" w:rsidR="00AE43FF" w:rsidRDefault="00A128A3">
      <w:pPr>
        <w:spacing w:after="0" w:line="240" w:lineRule="auto"/>
        <w:rPr>
          <w:rFonts w:ascii="Arial Black" w:hAnsi="Arial Black"/>
          <w:b/>
          <w:sz w:val="44"/>
          <w:szCs w:val="52"/>
        </w:rPr>
      </w:pPr>
      <w:r>
        <w:rPr>
          <w:rFonts w:ascii="Arial Black" w:hAnsi="Arial Black"/>
          <w:b/>
          <w:sz w:val="44"/>
          <w:szCs w:val="52"/>
        </w:rPr>
        <w:t>INSTRUKCJA UŻYTKOWANIA</w:t>
      </w:r>
    </w:p>
    <w:p w14:paraId="365C4F93" w14:textId="44650AA8" w:rsidR="00EB61BE" w:rsidRPr="00B602A3" w:rsidRDefault="00EB61BE" w:rsidP="00EB61BE">
      <w:pPr>
        <w:spacing w:after="0" w:line="240" w:lineRule="auto"/>
        <w:jc w:val="both"/>
        <w:rPr>
          <w:rFonts w:ascii="Arial Black" w:hAnsi="Arial Black"/>
          <w:b/>
          <w:sz w:val="24"/>
          <w:szCs w:val="24"/>
          <w:u w:val="single"/>
        </w:rPr>
      </w:pPr>
      <w:r w:rsidRPr="00B602A3">
        <w:rPr>
          <w:rFonts w:ascii="Arial Black" w:hAnsi="Arial Black"/>
          <w:b/>
          <w:sz w:val="24"/>
          <w:szCs w:val="24"/>
          <w:u w:val="single"/>
        </w:rPr>
        <w:t xml:space="preserve">Trzewiki bezpieczne z </w:t>
      </w:r>
      <w:proofErr w:type="spellStart"/>
      <w:r w:rsidRPr="00B602A3">
        <w:rPr>
          <w:rFonts w:ascii="Arial Black" w:hAnsi="Arial Black"/>
          <w:b/>
          <w:sz w:val="24"/>
          <w:szCs w:val="24"/>
          <w:u w:val="single"/>
        </w:rPr>
        <w:t>podnoskiem</w:t>
      </w:r>
      <w:proofErr w:type="spellEnd"/>
      <w:r w:rsidRPr="00B602A3">
        <w:rPr>
          <w:rFonts w:ascii="Arial Black" w:hAnsi="Arial Black"/>
          <w:b/>
          <w:sz w:val="24"/>
          <w:szCs w:val="24"/>
          <w:u w:val="single"/>
        </w:rPr>
        <w:t xml:space="preserve"> kompozytowym i</w:t>
      </w:r>
      <w:r>
        <w:rPr>
          <w:rFonts w:ascii="Arial Black" w:hAnsi="Arial Black"/>
          <w:b/>
          <w:sz w:val="24"/>
          <w:szCs w:val="24"/>
          <w:u w:val="single"/>
        </w:rPr>
        <w:t> </w:t>
      </w:r>
      <w:proofErr w:type="spellStart"/>
      <w:r>
        <w:rPr>
          <w:rFonts w:ascii="Arial Black" w:hAnsi="Arial Black"/>
          <w:b/>
          <w:sz w:val="24"/>
          <w:szCs w:val="24"/>
          <w:u w:val="single"/>
        </w:rPr>
        <w:t>kevlarową</w:t>
      </w:r>
      <w:proofErr w:type="spellEnd"/>
      <w:r>
        <w:rPr>
          <w:rFonts w:ascii="Arial Black" w:hAnsi="Arial Black"/>
          <w:b/>
          <w:sz w:val="24"/>
          <w:szCs w:val="24"/>
          <w:u w:val="single"/>
        </w:rPr>
        <w:t xml:space="preserve"> (tekstylną) </w:t>
      </w:r>
      <w:r w:rsidRPr="00B602A3">
        <w:rPr>
          <w:rFonts w:ascii="Arial Black" w:hAnsi="Arial Black"/>
          <w:b/>
          <w:sz w:val="24"/>
          <w:szCs w:val="24"/>
          <w:u w:val="single"/>
        </w:rPr>
        <w:t>wkładką antyp</w:t>
      </w:r>
      <w:r>
        <w:rPr>
          <w:rFonts w:ascii="Arial Black" w:hAnsi="Arial Black"/>
          <w:b/>
          <w:sz w:val="24"/>
          <w:szCs w:val="24"/>
          <w:u w:val="single"/>
        </w:rPr>
        <w:t>rzebiciową</w:t>
      </w:r>
    </w:p>
    <w:p w14:paraId="22CA84C2" w14:textId="4DDDA4B3" w:rsidR="00AE43FF" w:rsidRDefault="00D44579">
      <w:pPr>
        <w:spacing w:after="0" w:line="240" w:lineRule="auto"/>
        <w:rPr>
          <w:rFonts w:ascii="Arial Black" w:hAnsi="Arial Black"/>
          <w:b/>
          <w:sz w:val="26"/>
          <w:szCs w:val="26"/>
          <w:u w:val="single"/>
        </w:rPr>
      </w:pPr>
      <w:r>
        <w:rPr>
          <w:rFonts w:ascii="Arial Black" w:hAnsi="Arial Black"/>
          <w:b/>
          <w:sz w:val="26"/>
          <w:szCs w:val="26"/>
          <w:u w:val="single"/>
        </w:rPr>
        <w:t xml:space="preserve">ART. </w:t>
      </w:r>
      <w:r w:rsidR="00EB61BE">
        <w:rPr>
          <w:rFonts w:ascii="Arial Black" w:hAnsi="Arial Black"/>
          <w:b/>
          <w:sz w:val="26"/>
          <w:szCs w:val="26"/>
          <w:u w:val="single"/>
        </w:rPr>
        <w:t>4</w:t>
      </w:r>
      <w:r w:rsidR="00957F98">
        <w:rPr>
          <w:rFonts w:ascii="Arial Black" w:hAnsi="Arial Black"/>
          <w:b/>
          <w:sz w:val="26"/>
          <w:szCs w:val="26"/>
          <w:u w:val="single"/>
        </w:rPr>
        <w:t xml:space="preserve">20 </w:t>
      </w:r>
      <w:r w:rsidR="00213862">
        <w:rPr>
          <w:rFonts w:ascii="Arial Black" w:hAnsi="Arial Black"/>
          <w:b/>
          <w:sz w:val="26"/>
          <w:szCs w:val="26"/>
          <w:u w:val="single"/>
        </w:rPr>
        <w:t>STORM</w:t>
      </w:r>
      <w:r w:rsidR="00A128A3">
        <w:rPr>
          <w:rFonts w:ascii="Arial Black" w:hAnsi="Arial Black"/>
          <w:b/>
          <w:sz w:val="26"/>
          <w:szCs w:val="26"/>
          <w:u w:val="single"/>
        </w:rPr>
        <w:t xml:space="preserve"> S1</w:t>
      </w:r>
      <w:r w:rsidR="00EB61BE">
        <w:rPr>
          <w:rFonts w:ascii="Arial Black" w:hAnsi="Arial Black"/>
          <w:b/>
          <w:sz w:val="26"/>
          <w:szCs w:val="26"/>
          <w:u w:val="single"/>
        </w:rPr>
        <w:t>P</w:t>
      </w:r>
      <w:r w:rsidR="00A128A3">
        <w:rPr>
          <w:rFonts w:ascii="Arial Black" w:hAnsi="Arial Black"/>
          <w:b/>
          <w:sz w:val="26"/>
          <w:szCs w:val="26"/>
          <w:u w:val="single"/>
        </w:rPr>
        <w:t xml:space="preserve">  SRC</w:t>
      </w:r>
    </w:p>
    <w:p w14:paraId="4E53C078" w14:textId="5E3DAE50" w:rsidR="00AE43FF" w:rsidRDefault="00A128A3">
      <w:pPr>
        <w:spacing w:after="0" w:line="240" w:lineRule="auto"/>
        <w:rPr>
          <w:rFonts w:ascii="Arial" w:hAnsi="Arial" w:cs="Arial"/>
          <w:b/>
          <w:color w:val="404040" w:themeColor="text1" w:themeTint="BF"/>
          <w:sz w:val="20"/>
          <w:szCs w:val="20"/>
        </w:rPr>
      </w:pPr>
      <w:r>
        <w:rPr>
          <w:rFonts w:ascii="Arial" w:hAnsi="Arial" w:cs="Arial"/>
          <w:sz w:val="16"/>
          <w:szCs w:val="16"/>
        </w:rPr>
        <w:t>Wyżej wymieniony produkt</w:t>
      </w:r>
      <w:r>
        <w:rPr>
          <w:rFonts w:ascii="Arial" w:hAnsi="Arial" w:cs="Arial"/>
          <w:b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jest </w:t>
      </w:r>
      <w:r>
        <w:rPr>
          <w:rFonts w:ascii="Arial" w:hAnsi="Arial" w:cs="Arial"/>
          <w:b/>
          <w:sz w:val="16"/>
          <w:szCs w:val="16"/>
        </w:rPr>
        <w:t>Środkiem Ochrony Indywidualnej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chroniącym przed zagrożeniami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>KATEGORII I</w:t>
      </w:r>
      <w:r w:rsidR="00D8395B">
        <w:rPr>
          <w:rFonts w:ascii="Arial" w:hAnsi="Arial" w:cs="Arial"/>
          <w:b/>
          <w:sz w:val="16"/>
          <w:szCs w:val="16"/>
        </w:rPr>
        <w:t>I</w:t>
      </w:r>
      <w:r>
        <w:rPr>
          <w:rFonts w:ascii="Arial" w:hAnsi="Arial" w:cs="Arial"/>
          <w:sz w:val="16"/>
          <w:szCs w:val="16"/>
        </w:rPr>
        <w:t xml:space="preserve">, spełniającym </w:t>
      </w:r>
      <w:r>
        <w:rPr>
          <w:rFonts w:ascii="Arial" w:hAnsi="Arial" w:cs="Arial"/>
          <w:color w:val="000000" w:themeColor="text1"/>
          <w:sz w:val="16"/>
          <w:szCs w:val="16"/>
        </w:rPr>
        <w:t>zasadnicze wymagania dotyczące zdrowia i bezpieczeństwa</w:t>
      </w:r>
      <w:r>
        <w:rPr>
          <w:rFonts w:ascii="Arial" w:hAnsi="Arial" w:cs="Arial"/>
          <w:sz w:val="16"/>
          <w:szCs w:val="16"/>
        </w:rPr>
        <w:t xml:space="preserve"> Rozporządzenia Parlamentu Europejskiego i Rady (UE) 2016/425 z dnia 9 marca 2016 r. w sprawie środków ochrony indywidualnej oraz uchylenia Dyrektywy 89/686/EWG. Obuwie jest  zgodne z normą zharmonizowaną </w:t>
      </w:r>
      <w:r>
        <w:rPr>
          <w:rFonts w:ascii="Arial" w:eastAsia="Calibri" w:hAnsi="Arial" w:cs="Arial"/>
          <w:b/>
          <w:sz w:val="16"/>
          <w:szCs w:val="16"/>
        </w:rPr>
        <w:t>EN ISO 20345:2011</w:t>
      </w:r>
      <w:r>
        <w:rPr>
          <w:rFonts w:ascii="Arial" w:eastAsia="Calibri" w:hAnsi="Arial" w:cs="Arial"/>
          <w:sz w:val="16"/>
          <w:szCs w:val="16"/>
        </w:rPr>
        <w:t xml:space="preserve"> „Środki ochrony indywidualnej. Obuwie bezpieczne ”. </w:t>
      </w:r>
      <w:r>
        <w:rPr>
          <w:rFonts w:ascii="Arial" w:hAnsi="Arial" w:cs="Arial"/>
          <w:b/>
          <w:color w:val="404040" w:themeColor="text1" w:themeTint="BF"/>
          <w:sz w:val="20"/>
          <w:szCs w:val="20"/>
        </w:rPr>
        <w:t xml:space="preserve"> </w:t>
      </w:r>
    </w:p>
    <w:p w14:paraId="7E0BAC0F" w14:textId="1A785CDE" w:rsidR="00AE43FF" w:rsidRDefault="00A128A3">
      <w:pPr>
        <w:spacing w:after="0" w:line="240" w:lineRule="auto"/>
        <w:rPr>
          <w:rFonts w:ascii="Arial" w:hAnsi="Arial" w:cs="Arial"/>
          <w:b/>
        </w:rPr>
      </w:pPr>
      <w:r>
        <w:rPr>
          <w:rFonts w:ascii="Arial Black" w:hAnsi="Arial Black" w:cs="Arial"/>
          <w:b/>
          <w:sz w:val="18"/>
          <w:szCs w:val="18"/>
        </w:rPr>
        <w:t>PRZEZNACZENIE I OGRANICZENIA</w:t>
      </w:r>
    </w:p>
    <w:p w14:paraId="48A64E98" w14:textId="71163E10" w:rsidR="00EB61BE" w:rsidRDefault="00A128A3" w:rsidP="00EB61BE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Cholewę butów wykonano z</w:t>
      </w:r>
      <w:r w:rsidR="00E01034">
        <w:rPr>
          <w:rFonts w:ascii="Arial" w:eastAsia="Times New Roman" w:hAnsi="Arial" w:cs="Arial"/>
          <w:sz w:val="18"/>
          <w:szCs w:val="18"/>
          <w:lang w:eastAsia="pl-PL"/>
        </w:rPr>
        <w:t xml:space="preserve">e skóry bydlęcej zamszowej oraz tkaniny nylonowej, 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o właściwościach paro przepuszczalnych regulującej wilgotność w środku obuwia.   Przeznaczone są do pracy na otwartej jak i zamkniętej przestrzeni w suchych  warunkach pogodowych. Zelówkę wykonano z dwóch warstw - </w:t>
      </w:r>
      <w:r w:rsidR="00957F98">
        <w:rPr>
          <w:rFonts w:ascii="Arial" w:eastAsia="Times New Roman" w:hAnsi="Arial" w:cs="Arial"/>
          <w:sz w:val="18"/>
          <w:szCs w:val="18"/>
          <w:lang w:eastAsia="pl-PL"/>
        </w:rPr>
        <w:t>z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ewnętrznej  z </w:t>
      </w:r>
      <w:r>
        <w:rPr>
          <w:rFonts w:ascii="Arial" w:eastAsia="Times New Roman" w:hAnsi="Arial" w:cs="Arial"/>
          <w:b/>
          <w:sz w:val="18"/>
          <w:szCs w:val="18"/>
          <w:lang w:eastAsia="pl-PL"/>
        </w:rPr>
        <w:t>PU ( poliuretan )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w kolorze </w:t>
      </w:r>
      <w:r w:rsidR="00957F98">
        <w:rPr>
          <w:rFonts w:ascii="Arial" w:eastAsia="Times New Roman" w:hAnsi="Arial" w:cs="Arial"/>
          <w:sz w:val="18"/>
          <w:szCs w:val="18"/>
          <w:lang w:eastAsia="pl-PL"/>
        </w:rPr>
        <w:t>czarnym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oraz </w:t>
      </w:r>
      <w:r w:rsidR="00957F98">
        <w:rPr>
          <w:rFonts w:ascii="Arial" w:eastAsia="Times New Roman" w:hAnsi="Arial" w:cs="Arial"/>
          <w:sz w:val="18"/>
          <w:szCs w:val="18"/>
          <w:lang w:eastAsia="pl-PL"/>
        </w:rPr>
        <w:t>w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ewnętrznej -  </w:t>
      </w:r>
      <w:r w:rsidR="00957F98">
        <w:rPr>
          <w:rFonts w:ascii="Arial" w:eastAsia="Times New Roman" w:hAnsi="Arial" w:cs="Arial"/>
          <w:b/>
          <w:sz w:val="18"/>
          <w:szCs w:val="18"/>
          <w:lang w:eastAsia="pl-PL"/>
        </w:rPr>
        <w:t>TPU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w kolorze </w:t>
      </w:r>
      <w:r w:rsidR="00957F98">
        <w:rPr>
          <w:rFonts w:ascii="Arial" w:eastAsia="Times New Roman" w:hAnsi="Arial" w:cs="Arial"/>
          <w:sz w:val="18"/>
          <w:szCs w:val="18"/>
          <w:lang w:eastAsia="pl-PL"/>
        </w:rPr>
        <w:t>białym</w:t>
      </w:r>
      <w:r>
        <w:rPr>
          <w:rFonts w:ascii="Arial" w:eastAsia="Times New Roman" w:hAnsi="Arial" w:cs="Arial"/>
          <w:sz w:val="18"/>
          <w:szCs w:val="18"/>
          <w:lang w:eastAsia="pl-PL"/>
        </w:rPr>
        <w:t>, odpornej na ścieranie  i poślizg na dwóch płaszczyznach</w:t>
      </w:r>
      <w:r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SRC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. W części piętowej znajduje się dodatkowe wzmocnienie,  które stabilizuje i zabezpiecza staw skokowy i piętę  przed drobnymi urazami mechanicznymi. Obuwie wyposażono w podnosek kompozytowy, który zabezpiecza użytkownika przed urazami mechanicznymi.  Każdy but posiada informację na wszywce o rodzaju zabezpieczeń i normie, której wymagania spełnia. </w:t>
      </w:r>
      <w:r>
        <w:rPr>
          <w:rFonts w:ascii="Arial" w:eastAsia="Calibri" w:hAnsi="Arial" w:cs="Arial"/>
          <w:b/>
          <w:sz w:val="18"/>
          <w:szCs w:val="18"/>
        </w:rPr>
        <w:t>UWAGA!</w:t>
      </w:r>
      <w:r>
        <w:rPr>
          <w:rFonts w:ascii="Arial" w:eastAsia="Calibri" w:hAnsi="Arial" w:cs="Arial"/>
          <w:sz w:val="18"/>
          <w:szCs w:val="18"/>
        </w:rPr>
        <w:t xml:space="preserve"> Nie należy użytkować produktu niezgodnie z jego przeznaczeniem zawartym w instrukcji użytkowania. Chronić przed kontaktem z rozpuszczalnikami, olejami, paliwami, smarami oraz kwasami - może to radykalnie skrócić jego żywotność oraz zmniejszyć właściwości ochronne.</w:t>
      </w:r>
      <w:r>
        <w:rPr>
          <w:rFonts w:ascii="Arial" w:eastAsia="Times New Roman" w:hAnsi="Arial" w:cs="Arial"/>
          <w:color w:val="FF0000"/>
          <w:sz w:val="18"/>
          <w:szCs w:val="18"/>
          <w:lang w:eastAsia="pl-PL"/>
        </w:rPr>
        <w:t xml:space="preserve"> </w:t>
      </w:r>
    </w:p>
    <w:p w14:paraId="76BCAB03" w14:textId="4FF5D575" w:rsidR="008C5B2E" w:rsidRDefault="008C5B2E" w:rsidP="008C5B2E">
      <w:pPr>
        <w:spacing w:after="0" w:line="240" w:lineRule="auto"/>
        <w:rPr>
          <w:rFonts w:ascii="Arial Black" w:hAnsi="Arial Black" w:cs="Arial"/>
          <w:b/>
          <w:sz w:val="18"/>
          <w:szCs w:val="18"/>
        </w:rPr>
      </w:pPr>
      <w:r>
        <w:rPr>
          <w:rFonts w:ascii="Arial Black" w:hAnsi="Arial Black" w:cs="Arial"/>
          <w:b/>
          <w:sz w:val="18"/>
          <w:szCs w:val="18"/>
        </w:rPr>
        <w:t>WŁAŚCIWOŚCI ANTYELEKTROSTATYCZNE</w:t>
      </w:r>
    </w:p>
    <w:p w14:paraId="3EF9918B" w14:textId="47ECE50C" w:rsidR="008C5B2E" w:rsidRPr="002D748D" w:rsidRDefault="008C5B2E" w:rsidP="008C5B2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D748D">
        <w:rPr>
          <w:rFonts w:ascii="Arial" w:hAnsi="Arial" w:cs="Arial"/>
          <w:sz w:val="18"/>
          <w:szCs w:val="18"/>
        </w:rPr>
        <w:t>Obuwie antyelektrostatyczne powinno być stosowane, gdy zachodzi  konieczność zmniejszenia możliwości naładowania elektrostatycznego poprzez odprowadzenie ładunku elektrostatycznego, tak aby wykluczyć niebezpieczeństwo zapalenia np. palnych substancji i gazów na skutek iskrzenia i gdy nie jest wykluczone w pełni ryzyko porażenia elektrycznego spowodowanego przez urządzenia elektryczne lub elementy znajdujące się pod napięciem. Obuwie antyelektrostatyczne nie może zapewnić jedynej i</w:t>
      </w:r>
      <w:r>
        <w:rPr>
          <w:rFonts w:ascii="Arial" w:hAnsi="Arial" w:cs="Arial"/>
          <w:sz w:val="18"/>
          <w:szCs w:val="18"/>
        </w:rPr>
        <w:t> </w:t>
      </w:r>
      <w:r w:rsidRPr="002D748D">
        <w:rPr>
          <w:rFonts w:ascii="Arial" w:hAnsi="Arial" w:cs="Arial"/>
          <w:sz w:val="18"/>
          <w:szCs w:val="18"/>
        </w:rPr>
        <w:t>wystarczającej ochrony przed porażeniem elektrycznym, gdyż wprowadza  określoną rezysta</w:t>
      </w:r>
      <w:r>
        <w:rPr>
          <w:rFonts w:ascii="Arial" w:hAnsi="Arial" w:cs="Arial"/>
          <w:sz w:val="18"/>
          <w:szCs w:val="18"/>
        </w:rPr>
        <w:t>ncję elektryczną między stopą a </w:t>
      </w:r>
      <w:r w:rsidRPr="002D748D">
        <w:rPr>
          <w:rFonts w:ascii="Arial" w:hAnsi="Arial" w:cs="Arial"/>
          <w:sz w:val="18"/>
          <w:szCs w:val="18"/>
        </w:rPr>
        <w:t>podłożem. Jeżeli niebezpieczeństwo porażenia elektrycznego nie zostało całkowicie wyeliminowan</w:t>
      </w:r>
      <w:r>
        <w:rPr>
          <w:rFonts w:ascii="Arial" w:hAnsi="Arial" w:cs="Arial"/>
          <w:sz w:val="18"/>
          <w:szCs w:val="18"/>
        </w:rPr>
        <w:t>e, niezbędne są dalsze środki w </w:t>
      </w:r>
      <w:r w:rsidRPr="002D748D">
        <w:rPr>
          <w:rFonts w:ascii="Arial" w:hAnsi="Arial" w:cs="Arial"/>
          <w:sz w:val="18"/>
          <w:szCs w:val="18"/>
        </w:rPr>
        <w:t>celu uniknięcia ryzyka. Zaleca się aby takie środki oraz wymienione niżej badania były częścią programu zapobiegania wypadkom  na stanowisku pracy.</w:t>
      </w:r>
      <w:r>
        <w:rPr>
          <w:rFonts w:ascii="Arial" w:hAnsi="Arial" w:cs="Arial"/>
          <w:sz w:val="18"/>
          <w:szCs w:val="18"/>
        </w:rPr>
        <w:t xml:space="preserve"> </w:t>
      </w:r>
      <w:r w:rsidRPr="002D748D">
        <w:rPr>
          <w:rFonts w:ascii="Arial" w:hAnsi="Arial" w:cs="Arial"/>
          <w:sz w:val="18"/>
          <w:szCs w:val="18"/>
        </w:rPr>
        <w:t>Zaleca się, aby zgodnie z doświadczeniami rezystancja elektryczna wyrobu zapewniająca pożądany efekt antyelektrostatyczny w okresie użytkowania była niższa niż  1000 MΩ. Dla nowego wyrobu dolną granicę rezystancji  elektrycznej określono na poziomie 100 MΩ, aby zapewnić ograniczoną ochronę przed niebezpiecznym porażeniem elektrycznym lub przed zapłonem w sytuacji uszkodzenia urządzenia elektrycznego pracującego przy napięciu do 250 V. Jednak użytkownicy powinni być świadomi tego, że w określonych warunkach obuwie może nie stanowić dostatecznej ochrony i dla ochrony użytkownika powinny być zawsze podjęte dodatkowe środki ostrożności. Rezystancja elektryczna tego typu obuwia może ulec znacznym zmianom w wyniku zginania, zanieczyszczenia lub pod wpływem wilgoci. Obuwie to nie będzie spełniało swojej założonej funkcji podc</w:t>
      </w:r>
      <w:r>
        <w:rPr>
          <w:rFonts w:ascii="Arial" w:hAnsi="Arial" w:cs="Arial"/>
          <w:sz w:val="18"/>
          <w:szCs w:val="18"/>
        </w:rPr>
        <w:t>zas użytkowania w </w:t>
      </w:r>
      <w:r w:rsidRPr="002D748D">
        <w:rPr>
          <w:rFonts w:ascii="Arial" w:hAnsi="Arial" w:cs="Arial"/>
          <w:sz w:val="18"/>
          <w:szCs w:val="18"/>
        </w:rPr>
        <w:t>warunkach mokrych. Jest więc niezbędne dążenie do tego, aby obuwie spełniało swoją założoną f</w:t>
      </w:r>
      <w:r>
        <w:rPr>
          <w:rFonts w:ascii="Arial" w:hAnsi="Arial" w:cs="Arial"/>
          <w:sz w:val="18"/>
          <w:szCs w:val="18"/>
        </w:rPr>
        <w:t>unkcję odprowadzania ładunków i </w:t>
      </w:r>
      <w:r w:rsidRPr="002D748D">
        <w:rPr>
          <w:rFonts w:ascii="Arial" w:hAnsi="Arial" w:cs="Arial"/>
          <w:sz w:val="18"/>
          <w:szCs w:val="18"/>
        </w:rPr>
        <w:t>zapewniało ochronę przez cały czas  eksploatacji. Zaleca się użytkownikom ustalenie wewnątrzzakładowych badań rezystancji elektrycznej i prowadzenie ich w regularnych i częstych odstępach czasu. Obuwie klasyfikacji I może absorbować wilgoć, jeśli jest</w:t>
      </w:r>
      <w:r>
        <w:rPr>
          <w:rFonts w:ascii="Arial" w:hAnsi="Arial" w:cs="Arial"/>
          <w:sz w:val="18"/>
          <w:szCs w:val="18"/>
        </w:rPr>
        <w:t xml:space="preserve"> noszone długi czas, w </w:t>
      </w:r>
      <w:r w:rsidRPr="002D748D">
        <w:rPr>
          <w:rFonts w:ascii="Arial" w:hAnsi="Arial" w:cs="Arial"/>
          <w:sz w:val="18"/>
          <w:szCs w:val="18"/>
        </w:rPr>
        <w:t>wilgotnych i mokrych warunkach może stać się obuwiem przewodzącym. Jeśli obuwie jest użytkowa</w:t>
      </w:r>
      <w:r>
        <w:rPr>
          <w:rFonts w:ascii="Arial" w:hAnsi="Arial" w:cs="Arial"/>
          <w:sz w:val="18"/>
          <w:szCs w:val="18"/>
        </w:rPr>
        <w:t>ne w </w:t>
      </w:r>
      <w:r w:rsidRPr="002D748D">
        <w:rPr>
          <w:rFonts w:ascii="Arial" w:hAnsi="Arial" w:cs="Arial"/>
          <w:sz w:val="18"/>
          <w:szCs w:val="18"/>
        </w:rPr>
        <w:t xml:space="preserve">warunkach, w których materiał podeszwowy ulega zanieczyszczeniu, zaleca się, aby użytkownik zawsze sprawdzał właściwości elektryczne obuwia przed wejściem w obszar niebezpieczny. Zaleca się, aby w miejscach, gdzie używane jest obuwie antyelektrostatyczne, rezystancja podłoża nie była w stanie zniwelować ochrony zapewnianej przez obuwie. Zaleca się, aby w czasie użytkowania obuwia żadne elementy izolujące, z wyjątkiem dziewiarskich wyrobów pończoszniczych, nie były umieszczone pomiędzy </w:t>
      </w:r>
      <w:proofErr w:type="spellStart"/>
      <w:r w:rsidRPr="002D748D">
        <w:rPr>
          <w:rFonts w:ascii="Arial" w:hAnsi="Arial" w:cs="Arial"/>
          <w:sz w:val="18"/>
          <w:szCs w:val="18"/>
        </w:rPr>
        <w:t>podpodeszwą</w:t>
      </w:r>
      <w:proofErr w:type="spellEnd"/>
      <w:r w:rsidRPr="002D748D">
        <w:rPr>
          <w:rFonts w:ascii="Arial" w:hAnsi="Arial" w:cs="Arial"/>
          <w:sz w:val="18"/>
          <w:szCs w:val="18"/>
        </w:rPr>
        <w:t xml:space="preserve"> obuwia i stopą użytkownika. Jeśli jakakolwiek wkładka jest umieszczona pomiędzy </w:t>
      </w:r>
      <w:proofErr w:type="spellStart"/>
      <w:r w:rsidRPr="002D748D">
        <w:rPr>
          <w:rFonts w:ascii="Arial" w:hAnsi="Arial" w:cs="Arial"/>
          <w:sz w:val="18"/>
          <w:szCs w:val="18"/>
        </w:rPr>
        <w:t>podpodeszwą</w:t>
      </w:r>
      <w:proofErr w:type="spellEnd"/>
      <w:r w:rsidRPr="002D748D">
        <w:rPr>
          <w:rFonts w:ascii="Arial" w:hAnsi="Arial" w:cs="Arial"/>
          <w:sz w:val="18"/>
          <w:szCs w:val="18"/>
        </w:rPr>
        <w:t xml:space="preserve"> i stopą, zaleca się sprawdzenie właściwości elektrycznych układu obuwie/wkładka. </w:t>
      </w:r>
    </w:p>
    <w:p w14:paraId="07515A4A" w14:textId="77777777" w:rsidR="008C5B2E" w:rsidRDefault="008C5B2E" w:rsidP="008C5B2E">
      <w:pPr>
        <w:spacing w:after="0" w:line="240" w:lineRule="auto"/>
        <w:jc w:val="both"/>
        <w:rPr>
          <w:rFonts w:ascii="Arial Black" w:eastAsia="Calibri" w:hAnsi="Arial Black" w:cs="Arial"/>
          <w:b/>
          <w:sz w:val="18"/>
          <w:szCs w:val="18"/>
        </w:rPr>
      </w:pPr>
      <w:r>
        <w:rPr>
          <w:rFonts w:ascii="Arial Black" w:eastAsia="Calibri" w:hAnsi="Arial Black" w:cs="Arial"/>
          <w:b/>
          <w:sz w:val="18"/>
          <w:szCs w:val="18"/>
        </w:rPr>
        <w:t>CZYSZCZENIE I KONSERWACJA</w:t>
      </w:r>
    </w:p>
    <w:p w14:paraId="570185B9" w14:textId="582C4642" w:rsidR="008C5B2E" w:rsidRDefault="008C5B2E" w:rsidP="008C5B2E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Skórzane wierzchy  należy czyścić regularnie, dostępnymi środkami takimi jak: pasty, kremy, środki w aerozolu itp. Wilgotne obuwie suszyć w przewiewnym miejscu w temperaturze pokojowej z daleka od źródła ciepła. Po wysuszeniu pamiętać o konserwacji obuwia w/w środkami. Do czyszczenia  używać  miękkiej gąbki lub bawełnianej ściereczki. Nie stosować rozpuszczalników organicznych.</w:t>
      </w:r>
    </w:p>
    <w:p w14:paraId="7073F6ED" w14:textId="77777777" w:rsidR="008C5B2E" w:rsidRDefault="008C5B2E" w:rsidP="008C5B2E">
      <w:pPr>
        <w:spacing w:after="0" w:line="240" w:lineRule="auto"/>
        <w:jc w:val="both"/>
        <w:rPr>
          <w:rFonts w:ascii="Arial Black" w:eastAsia="Calibri" w:hAnsi="Arial Black" w:cs="Arial"/>
          <w:b/>
          <w:sz w:val="18"/>
          <w:szCs w:val="18"/>
        </w:rPr>
      </w:pPr>
      <w:r>
        <w:rPr>
          <w:rFonts w:ascii="Arial Black" w:eastAsia="Calibri" w:hAnsi="Arial Black" w:cs="Arial"/>
          <w:b/>
          <w:sz w:val="18"/>
          <w:szCs w:val="18"/>
        </w:rPr>
        <w:t>OPAKOWANIE i PRZECHOWYWANIE</w:t>
      </w:r>
    </w:p>
    <w:p w14:paraId="2BD4D171" w14:textId="3AC50AB4" w:rsidR="008C5B2E" w:rsidRDefault="008C5B2E" w:rsidP="008C5B2E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Obuwie należy przechowywać w opakowaniach tekturowych  w odległości nie mniejszej niż 1 metr od urządzeń grzewczych w temperaturze od +5 do +25 stopni C przy względnej wilgotności od 50% do 70%. W takich warunkach magazynowane obuwie  zachowuje swoje właściwości przez okres 12 miesięcy. Nie stosowanie się do w/w zaleceń może być przyczyną powstania skrócenia trwałości obuwia. Obuwie pakowane jest w torby foliowe lub w pudełka  - opakowanie jednostkowe a następnie w kartony, które stanowią opakowanie zbiorcze. W opakowaniu zbiorczym znajduje się 10 par butów jednego rozmiaru. But dostępny jest w rozmiarach wg numeracji francuskiej od 35 do 47.</w:t>
      </w:r>
    </w:p>
    <w:p w14:paraId="0F995CFE" w14:textId="661BC5BD" w:rsidR="00213862" w:rsidRDefault="008A458D" w:rsidP="00213862">
      <w:pPr>
        <w:spacing w:after="0" w:line="240" w:lineRule="auto"/>
        <w:jc w:val="both"/>
        <w:rPr>
          <w:rFonts w:ascii="Arial Black" w:eastAsia="Calibri" w:hAnsi="Arial Black" w:cs="Arial"/>
          <w:sz w:val="18"/>
          <w:szCs w:val="18"/>
        </w:rPr>
      </w:pPr>
      <w:r w:rsidRPr="008A458D">
        <w:rPr>
          <w:rFonts w:ascii="Arial Black" w:eastAsia="Times New Roman" w:hAnsi="Arial Black" w:cs="Times New Roman"/>
          <w:noProof/>
          <w:sz w:val="18"/>
          <w:szCs w:val="18"/>
          <w:lang w:eastAsia="pl-PL"/>
        </w:rPr>
        <w:drawing>
          <wp:anchor distT="0" distB="0" distL="114300" distR="114300" simplePos="0" relativeHeight="251672576" behindDoc="1" locked="0" layoutInCell="1" allowOverlap="1" wp14:anchorId="3CDE99AD" wp14:editId="3F52B833">
            <wp:simplePos x="0" y="0"/>
            <wp:positionH relativeFrom="column">
              <wp:posOffset>4844415</wp:posOffset>
            </wp:positionH>
            <wp:positionV relativeFrom="paragraph">
              <wp:posOffset>142875</wp:posOffset>
            </wp:positionV>
            <wp:extent cx="1887029" cy="1882140"/>
            <wp:effectExtent l="0" t="0" r="0" b="3810"/>
            <wp:wrapTight wrapText="bothSides">
              <wp:wrapPolygon edited="0">
                <wp:start x="0" y="0"/>
                <wp:lineTo x="0" y="21425"/>
                <wp:lineTo x="21375" y="21425"/>
                <wp:lineTo x="21375" y="0"/>
                <wp:lineTo x="0" y="0"/>
              </wp:wrapPolygon>
            </wp:wrapTight>
            <wp:docPr id="51353910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53910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7029" cy="1882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3862">
        <w:rPr>
          <w:rFonts w:ascii="Arial Black" w:eastAsia="Calibri" w:hAnsi="Arial Black" w:cs="Arial"/>
          <w:sz w:val="18"/>
          <w:szCs w:val="18"/>
        </w:rPr>
        <w:t>TRANSPORT</w:t>
      </w:r>
    </w:p>
    <w:p w14:paraId="09912650" w14:textId="730148AF" w:rsidR="00213862" w:rsidRDefault="00213862" w:rsidP="00213862">
      <w:pPr>
        <w:spacing w:after="0" w:line="240" w:lineRule="auto"/>
        <w:ind w:right="-1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Powinien odbywać się czystymi środkami transportowymi, zabezpieczającymi przed wpływami atmosferycznymi, substancjami chemicznymi szkodliwie działającymi na skórę, tkaninę, poliuretan oraz przed uszkodzeniami mechanicznymi.</w:t>
      </w:r>
    </w:p>
    <w:p w14:paraId="20777AB8" w14:textId="2398835B" w:rsidR="00213862" w:rsidRDefault="00213862" w:rsidP="00213862">
      <w:pPr>
        <w:spacing w:after="0" w:line="240" w:lineRule="auto"/>
        <w:rPr>
          <w:rFonts w:ascii="Arial Black" w:eastAsia="Times New Roman" w:hAnsi="Arial Black" w:cs="Times New Roman"/>
          <w:sz w:val="18"/>
          <w:szCs w:val="18"/>
          <w:lang w:eastAsia="pl-PL"/>
        </w:rPr>
      </w:pPr>
      <w:r>
        <w:rPr>
          <w:rFonts w:ascii="Arial Black" w:eastAsia="Times New Roman" w:hAnsi="Arial Black" w:cs="Times New Roman"/>
          <w:sz w:val="18"/>
          <w:szCs w:val="18"/>
          <w:lang w:eastAsia="pl-PL"/>
        </w:rPr>
        <w:t>PRZYKŁAD OZNAKOWANIA OBUWIA</w:t>
      </w:r>
    </w:p>
    <w:p w14:paraId="22ABAC67" w14:textId="78CBBC06" w:rsidR="00213862" w:rsidRPr="006670BA" w:rsidRDefault="00213862" w:rsidP="00213862">
      <w:pPr>
        <w:spacing w:after="0" w:line="240" w:lineRule="auto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6670BA">
        <w:rPr>
          <w:rFonts w:ascii="Arial" w:eastAsia="Times New Roman" w:hAnsi="Arial" w:cs="Arial"/>
          <w:b/>
          <w:sz w:val="18"/>
          <w:szCs w:val="18"/>
          <w:lang w:eastAsia="pl-PL"/>
        </w:rPr>
        <w:t>EN</w:t>
      </w:r>
      <w:r w:rsidRPr="006670BA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6670BA">
        <w:rPr>
          <w:rFonts w:ascii="Arial" w:eastAsia="Times New Roman" w:hAnsi="Arial" w:cs="Arial"/>
          <w:b/>
          <w:sz w:val="18"/>
          <w:szCs w:val="18"/>
          <w:lang w:eastAsia="pl-PL"/>
        </w:rPr>
        <w:t>ISO</w:t>
      </w:r>
      <w:r w:rsidRPr="006670BA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6670BA">
        <w:rPr>
          <w:rFonts w:ascii="Arial" w:eastAsia="Times New Roman" w:hAnsi="Arial" w:cs="Arial"/>
          <w:b/>
          <w:sz w:val="18"/>
          <w:szCs w:val="18"/>
          <w:lang w:eastAsia="pl-PL"/>
        </w:rPr>
        <w:t>20345</w:t>
      </w:r>
      <w:r w:rsidRPr="006670BA">
        <w:rPr>
          <w:rFonts w:ascii="Arial" w:eastAsia="Times New Roman" w:hAnsi="Arial" w:cs="Arial"/>
          <w:sz w:val="18"/>
          <w:szCs w:val="18"/>
          <w:lang w:eastAsia="pl-PL"/>
        </w:rPr>
        <w:t>:</w:t>
      </w:r>
      <w:r w:rsidRPr="006670BA">
        <w:rPr>
          <w:rFonts w:ascii="Arial" w:eastAsia="Times New Roman" w:hAnsi="Arial" w:cs="Arial"/>
          <w:b/>
          <w:sz w:val="18"/>
          <w:szCs w:val="18"/>
          <w:lang w:eastAsia="pl-PL"/>
        </w:rPr>
        <w:t>2011</w:t>
      </w:r>
      <w:r w:rsidRPr="006670BA">
        <w:rPr>
          <w:rFonts w:ascii="Arial" w:eastAsia="Times New Roman" w:hAnsi="Arial" w:cs="Arial"/>
          <w:sz w:val="18"/>
          <w:szCs w:val="18"/>
          <w:lang w:eastAsia="pl-PL"/>
        </w:rPr>
        <w:t xml:space="preserve"> – norma europejska</w:t>
      </w:r>
    </w:p>
    <w:p w14:paraId="2F01B0CE" w14:textId="0EEE2696" w:rsidR="00213862" w:rsidRPr="006670BA" w:rsidRDefault="00213862" w:rsidP="0021386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6670BA">
        <w:rPr>
          <w:rFonts w:ascii="Arial" w:eastAsia="Times New Roman" w:hAnsi="Arial" w:cs="Arial"/>
          <w:b/>
          <w:sz w:val="18"/>
          <w:szCs w:val="18"/>
          <w:lang w:eastAsia="pl-PL"/>
        </w:rPr>
        <w:t>S</w:t>
      </w:r>
      <w:r>
        <w:rPr>
          <w:rFonts w:ascii="Arial" w:eastAsia="Times New Roman" w:hAnsi="Arial" w:cs="Arial"/>
          <w:b/>
          <w:sz w:val="18"/>
          <w:szCs w:val="18"/>
          <w:lang w:eastAsia="pl-PL"/>
        </w:rPr>
        <w:t>1P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 </w:t>
      </w:r>
      <w:r w:rsidRPr="006670BA">
        <w:rPr>
          <w:rFonts w:ascii="Arial" w:eastAsia="Times New Roman" w:hAnsi="Arial" w:cs="Arial"/>
          <w:sz w:val="18"/>
          <w:szCs w:val="18"/>
          <w:lang w:eastAsia="pl-PL"/>
        </w:rPr>
        <w:t>-  kategoria obuwia bezpiecznego</w:t>
      </w:r>
    </w:p>
    <w:p w14:paraId="6EE889F4" w14:textId="30E50F8C" w:rsidR="00213862" w:rsidRPr="006670BA" w:rsidRDefault="00213862" w:rsidP="0021386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6670BA">
        <w:rPr>
          <w:rFonts w:ascii="Arial" w:eastAsia="Times New Roman" w:hAnsi="Arial" w:cs="Arial"/>
          <w:b/>
          <w:sz w:val="18"/>
          <w:szCs w:val="18"/>
          <w:lang w:eastAsia="pl-PL"/>
        </w:rPr>
        <w:t>SRC</w:t>
      </w:r>
      <w:r w:rsidRPr="006670BA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6670BA">
        <w:rPr>
          <w:rFonts w:ascii="Arial" w:eastAsia="Times New Roman" w:hAnsi="Arial" w:cs="Arial"/>
          <w:sz w:val="18"/>
          <w:szCs w:val="18"/>
          <w:lang w:eastAsia="pl-PL"/>
        </w:rPr>
        <w:t>-  odporność na poślizg na 2 podłożach</w:t>
      </w:r>
    </w:p>
    <w:p w14:paraId="6A013B8A" w14:textId="69F16281" w:rsidR="00213862" w:rsidRPr="006670BA" w:rsidRDefault="00213862" w:rsidP="0021386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6670BA">
        <w:rPr>
          <w:rFonts w:ascii="Arial" w:eastAsia="Times New Roman" w:hAnsi="Arial" w:cs="Arial"/>
          <w:b/>
          <w:sz w:val="18"/>
          <w:szCs w:val="18"/>
          <w:lang w:eastAsia="pl-PL"/>
        </w:rPr>
        <w:t>CE</w:t>
      </w:r>
      <w:r w:rsidRPr="006670BA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6670BA">
        <w:rPr>
          <w:rFonts w:ascii="Arial" w:eastAsia="Times New Roman" w:hAnsi="Arial" w:cs="Arial"/>
          <w:sz w:val="18"/>
          <w:szCs w:val="18"/>
          <w:lang w:eastAsia="pl-PL"/>
        </w:rPr>
        <w:t xml:space="preserve">- znak zgodności z 89/686/EWG </w:t>
      </w:r>
    </w:p>
    <w:p w14:paraId="4C561E89" w14:textId="3D75800C" w:rsidR="00213862" w:rsidRPr="006670BA" w:rsidRDefault="00213862" w:rsidP="0021386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sz w:val="18"/>
          <w:szCs w:val="18"/>
          <w:lang w:eastAsia="pl-PL"/>
        </w:rPr>
        <w:t>420 STORM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6670BA">
        <w:rPr>
          <w:rFonts w:ascii="Arial" w:eastAsia="Times New Roman" w:hAnsi="Arial" w:cs="Arial"/>
          <w:sz w:val="18"/>
          <w:szCs w:val="18"/>
          <w:lang w:eastAsia="pl-PL"/>
        </w:rPr>
        <w:t xml:space="preserve"> - numer artykułu</w:t>
      </w:r>
    </w:p>
    <w:p w14:paraId="1EDE3BD9" w14:textId="27F305BE" w:rsidR="00213862" w:rsidRPr="006670BA" w:rsidRDefault="00213862" w:rsidP="0021386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sz w:val="18"/>
          <w:szCs w:val="18"/>
          <w:lang w:eastAsia="pl-PL"/>
        </w:rPr>
        <w:t>20</w:t>
      </w:r>
      <w:r w:rsidRPr="006670BA">
        <w:rPr>
          <w:rFonts w:ascii="Arial" w:eastAsia="Times New Roman" w:hAnsi="Arial" w:cs="Arial"/>
          <w:b/>
          <w:sz w:val="18"/>
          <w:szCs w:val="18"/>
          <w:lang w:eastAsia="pl-PL"/>
        </w:rPr>
        <w:t>/0</w:t>
      </w:r>
      <w:r>
        <w:rPr>
          <w:rFonts w:ascii="Arial" w:eastAsia="Times New Roman" w:hAnsi="Arial" w:cs="Arial"/>
          <w:b/>
          <w:sz w:val="18"/>
          <w:szCs w:val="18"/>
          <w:lang w:eastAsia="pl-PL"/>
        </w:rPr>
        <w:t>6</w:t>
      </w:r>
      <w:r w:rsidRPr="006670BA">
        <w:rPr>
          <w:rFonts w:ascii="Arial" w:eastAsia="Times New Roman" w:hAnsi="Arial" w:cs="Arial"/>
          <w:b/>
          <w:sz w:val="18"/>
          <w:szCs w:val="18"/>
          <w:lang w:eastAsia="pl-PL"/>
        </w:rPr>
        <w:t>/202</w:t>
      </w:r>
      <w:r>
        <w:rPr>
          <w:rFonts w:ascii="Arial" w:eastAsia="Times New Roman" w:hAnsi="Arial" w:cs="Arial"/>
          <w:b/>
          <w:sz w:val="18"/>
          <w:szCs w:val="18"/>
          <w:lang w:eastAsia="pl-PL"/>
        </w:rPr>
        <w:t>3</w:t>
      </w:r>
      <w:r w:rsidRPr="006670BA">
        <w:rPr>
          <w:rFonts w:ascii="Arial" w:eastAsia="Times New Roman" w:hAnsi="Arial" w:cs="Arial"/>
          <w:sz w:val="18"/>
          <w:szCs w:val="18"/>
          <w:lang w:eastAsia="pl-PL"/>
        </w:rPr>
        <w:t xml:space="preserve"> – data produkcji</w:t>
      </w:r>
    </w:p>
    <w:p w14:paraId="4EAAB1A6" w14:textId="77777777" w:rsidR="00213862" w:rsidRPr="006670BA" w:rsidRDefault="00213862" w:rsidP="0021386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proofErr w:type="spellStart"/>
      <w:r w:rsidRPr="006670BA">
        <w:rPr>
          <w:rFonts w:ascii="Arial" w:eastAsia="Times New Roman" w:hAnsi="Arial" w:cs="Arial"/>
          <w:b/>
          <w:sz w:val="18"/>
          <w:szCs w:val="18"/>
          <w:lang w:eastAsia="pl-PL"/>
        </w:rPr>
        <w:t>Galmag</w:t>
      </w:r>
      <w:proofErr w:type="spellEnd"/>
      <w:r w:rsidRPr="006670BA">
        <w:rPr>
          <w:rFonts w:ascii="Arial" w:eastAsia="Times New Roman" w:hAnsi="Arial" w:cs="Arial"/>
          <w:sz w:val="18"/>
          <w:szCs w:val="18"/>
          <w:lang w:eastAsia="pl-PL"/>
        </w:rPr>
        <w:t xml:space="preserve"> - nazwa producenta + logo</w:t>
      </w:r>
    </w:p>
    <w:p w14:paraId="056E0187" w14:textId="77777777" w:rsidR="00213862" w:rsidRPr="006670BA" w:rsidRDefault="00213862" w:rsidP="00213862">
      <w:pPr>
        <w:spacing w:after="0" w:line="240" w:lineRule="auto"/>
        <w:ind w:right="-1"/>
        <w:rPr>
          <w:rFonts w:ascii="Arial" w:eastAsia="Times New Roman" w:hAnsi="Arial" w:cs="Arial"/>
          <w:sz w:val="18"/>
          <w:szCs w:val="18"/>
          <w:lang w:eastAsia="pl-PL"/>
        </w:rPr>
      </w:pPr>
      <w:r w:rsidRPr="006670BA">
        <w:rPr>
          <w:rFonts w:ascii="Arial" w:eastAsia="Times New Roman" w:hAnsi="Arial" w:cs="Arial"/>
          <w:b/>
          <w:sz w:val="18"/>
          <w:szCs w:val="18"/>
          <w:lang w:eastAsia="pl-PL"/>
        </w:rPr>
        <w:t>42</w:t>
      </w:r>
      <w:r w:rsidRPr="006670BA">
        <w:rPr>
          <w:rFonts w:ascii="Arial" w:eastAsia="Times New Roman" w:hAnsi="Arial" w:cs="Arial"/>
          <w:sz w:val="18"/>
          <w:szCs w:val="18"/>
          <w:lang w:eastAsia="pl-PL"/>
        </w:rPr>
        <w:t xml:space="preserve"> - rozmiar</w:t>
      </w:r>
    </w:p>
    <w:p w14:paraId="75246090" w14:textId="77777777" w:rsidR="00213862" w:rsidRDefault="00213862" w:rsidP="008C5B2E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</w:p>
    <w:sectPr w:rsidR="00213862">
      <w:pgSz w:w="11906" w:h="16838"/>
      <w:pgMar w:top="284" w:right="567" w:bottom="284" w:left="56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3FF"/>
    <w:rsid w:val="00213862"/>
    <w:rsid w:val="008A458D"/>
    <w:rsid w:val="008C5B2E"/>
    <w:rsid w:val="00957F98"/>
    <w:rsid w:val="00A128A3"/>
    <w:rsid w:val="00AE43FF"/>
    <w:rsid w:val="00BA393C"/>
    <w:rsid w:val="00D44579"/>
    <w:rsid w:val="00D8395B"/>
    <w:rsid w:val="00E01034"/>
    <w:rsid w:val="00EB61BE"/>
    <w:rsid w:val="00FC1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06B74"/>
  <w15:docId w15:val="{146C1F43-BB79-40A6-A425-D58E8B1BD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631ECF"/>
    <w:rPr>
      <w:rFonts w:ascii="Tahoma" w:hAnsi="Tahoma" w:cs="Tahoma"/>
      <w:sz w:val="16"/>
      <w:szCs w:val="16"/>
    </w:rPr>
  </w:style>
  <w:style w:type="character" w:customStyle="1" w:styleId="czeinternetowe">
    <w:name w:val="Łącze internetowe"/>
    <w:basedOn w:val="Domylnaczcionkaakapitu"/>
    <w:uiPriority w:val="99"/>
    <w:unhideWhenUsed/>
    <w:rsid w:val="00561BEB"/>
    <w:rPr>
      <w:color w:val="0000FF" w:themeColor="hyperlink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31ECF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902</Words>
  <Characters>5414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Tomek Pakulski</dc:creator>
  <dc:description/>
  <cp:lastModifiedBy>MaW</cp:lastModifiedBy>
  <cp:revision>3</cp:revision>
  <cp:lastPrinted>2023-05-30T12:32:00Z</cp:lastPrinted>
  <dcterms:created xsi:type="dcterms:W3CDTF">2023-05-30T11:41:00Z</dcterms:created>
  <dcterms:modified xsi:type="dcterms:W3CDTF">2023-05-30T12:33:00Z</dcterms:modified>
  <dc:language>pl-PL</dc:language>
</cp:coreProperties>
</file>